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4B" w:rsidRDefault="0095744B" w:rsidP="0095744B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95744B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95744B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="0095744B">
        <w:rPr>
          <w:rFonts w:asciiTheme="minorHAnsi" w:hAnsiTheme="minorHAnsi"/>
          <w:b/>
          <w:i/>
          <w:sz w:val="22"/>
        </w:rPr>
        <w:t xml:space="preserve"> 2020</w:t>
      </w:r>
      <w:r w:rsidRPr="00E4368A">
        <w:rPr>
          <w:rFonts w:asciiTheme="minorHAnsi" w:hAnsiTheme="minorHAnsi"/>
          <w:b/>
          <w:i/>
          <w:sz w:val="22"/>
        </w:rPr>
        <w:t>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B2330E">
        <w:rPr>
          <w:rFonts w:asciiTheme="minorHAnsi" w:hAnsiTheme="minorHAnsi"/>
          <w:i/>
          <w:sz w:val="22"/>
        </w:rPr>
        <w:t>Stratégia CLLD územia RZ Dolná Nitra o.z.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B2330E">
        <w:rPr>
          <w:rFonts w:asciiTheme="minorHAnsi" w:hAnsiTheme="minorHAnsi"/>
          <w:i/>
          <w:sz w:val="22"/>
        </w:rPr>
        <w:t>Regionálne združenie Dolná Nitra o.z.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7F7F51">
        <w:rPr>
          <w:rFonts w:asciiTheme="minorHAnsi" w:hAnsiTheme="minorHAnsi"/>
          <w:i/>
          <w:sz w:val="22"/>
        </w:rPr>
        <w:t>28.10.2020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7F7F51">
        <w:rPr>
          <w:rFonts w:asciiTheme="minorHAnsi" w:hAnsiTheme="minorHAnsi"/>
          <w:sz w:val="22"/>
        </w:rPr>
        <w:t>2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2144"/>
        <w:gridCol w:w="1786"/>
        <w:gridCol w:w="1371"/>
        <w:gridCol w:w="1542"/>
        <w:gridCol w:w="1542"/>
        <w:gridCol w:w="2008"/>
      </w:tblGrid>
      <w:tr w:rsidR="003E7163" w:rsidRPr="00E4368A" w:rsidTr="0050129E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1786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:rsidTr="0050129E">
        <w:trPr>
          <w:trHeight w:val="566"/>
          <w:jc w:val="center"/>
        </w:trPr>
        <w:tc>
          <w:tcPr>
            <w:tcW w:w="2058" w:type="dxa"/>
            <w:vAlign w:val="center"/>
          </w:tcPr>
          <w:p w:rsidR="003E7163" w:rsidRPr="00E4368A" w:rsidRDefault="00270A7A" w:rsidP="00E4368A">
            <w:pPr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5.1.1 Zvýšenie zamestnanosti na miestnej úrovni podporou podnikania a inovácií</w:t>
            </w:r>
          </w:p>
        </w:tc>
        <w:tc>
          <w:tcPr>
            <w:tcW w:w="2144" w:type="dxa"/>
          </w:tcPr>
          <w:p w:rsidR="003E7163" w:rsidRPr="004077AC" w:rsidRDefault="00270A7A" w:rsidP="00E4368A">
            <w:pPr>
              <w:rPr>
                <w:rFonts w:asciiTheme="minorHAnsi" w:hAnsiTheme="minorHAnsi"/>
                <w:sz w:val="18"/>
                <w:szCs w:val="18"/>
              </w:rPr>
            </w:pPr>
            <w:r w:rsidRPr="004077AC">
              <w:rPr>
                <w:rFonts w:asciiTheme="minorHAnsi" w:hAnsiTheme="minorHAnsi"/>
                <w:sz w:val="18"/>
                <w:szCs w:val="18"/>
              </w:rPr>
              <w:t>A1 Podpora podnikania a inovácií</w:t>
            </w:r>
          </w:p>
        </w:tc>
        <w:tc>
          <w:tcPr>
            <w:tcW w:w="1786" w:type="dxa"/>
            <w:vAlign w:val="center"/>
          </w:tcPr>
          <w:p w:rsidR="003E7163" w:rsidRPr="004077AC" w:rsidRDefault="00C701C7" w:rsidP="00C701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077AC">
              <w:rPr>
                <w:rFonts w:asciiTheme="minorHAnsi" w:hAnsiTheme="minorHAnsi"/>
                <w:sz w:val="18"/>
                <w:szCs w:val="18"/>
              </w:rPr>
              <w:t>Samostatne zárobkovo činné osoby, okrem tých, ktoré ú oprávnenými prijímateľmi z PRV v opatrení LE</w:t>
            </w:r>
            <w:r w:rsidR="006D7F8D" w:rsidRPr="004077AC">
              <w:rPr>
                <w:rFonts w:asciiTheme="minorHAnsi" w:hAnsiTheme="minorHAnsi"/>
                <w:sz w:val="18"/>
                <w:szCs w:val="18"/>
              </w:rPr>
              <w:t xml:space="preserve">ADER </w:t>
            </w:r>
            <w:r w:rsidR="008E480E" w:rsidRPr="004077AC">
              <w:rPr>
                <w:rFonts w:asciiTheme="minorHAnsi" w:hAnsiTheme="minorHAnsi"/>
                <w:sz w:val="18"/>
                <w:szCs w:val="18"/>
              </w:rPr>
              <w:t xml:space="preserve"> a oprávnenými </w:t>
            </w:r>
            <w:r w:rsidR="008E480E" w:rsidRPr="004077AC">
              <w:rPr>
                <w:rFonts w:asciiTheme="minorHAnsi" w:hAnsiTheme="minorHAnsi"/>
                <w:sz w:val="18"/>
                <w:szCs w:val="18"/>
              </w:rPr>
              <w:lastRenderedPageBreak/>
              <w:t>prijímateľmi z OP RH</w:t>
            </w:r>
            <w:r w:rsidR="00CD3FC1" w:rsidRPr="004077AC">
              <w:rPr>
                <w:rFonts w:asciiTheme="minorHAnsi" w:hAnsiTheme="minorHAnsi"/>
                <w:sz w:val="18"/>
                <w:szCs w:val="18"/>
              </w:rPr>
              <w:t>, mikro a malé podniky s počtom do 49 zamestnancov, okrem tých, ktoré sú oprávnenými prijímateľmi z PRV, v opatrení LEADER a oprávnenými prijímateľmi z OP RH</w:t>
            </w:r>
          </w:p>
        </w:tc>
        <w:tc>
          <w:tcPr>
            <w:tcW w:w="1371" w:type="dxa"/>
            <w:vAlign w:val="center"/>
          </w:tcPr>
          <w:p w:rsidR="003E7163" w:rsidRPr="004077AC" w:rsidRDefault="003E7163" w:rsidP="001058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077AC">
              <w:rPr>
                <w:rFonts w:asciiTheme="minorHAnsi" w:hAnsiTheme="minorHAnsi"/>
                <w:sz w:val="18"/>
                <w:szCs w:val="18"/>
              </w:rPr>
              <w:lastRenderedPageBreak/>
              <w:t>otvorená</w:t>
            </w:r>
          </w:p>
        </w:tc>
        <w:tc>
          <w:tcPr>
            <w:tcW w:w="1542" w:type="dxa"/>
            <w:vAlign w:val="center"/>
          </w:tcPr>
          <w:p w:rsidR="003E7163" w:rsidRPr="004077AC" w:rsidRDefault="007F7F51" w:rsidP="001058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="0095744B">
              <w:rPr>
                <w:rFonts w:asciiTheme="minorHAnsi" w:hAnsiTheme="minorHAnsi"/>
                <w:sz w:val="18"/>
                <w:szCs w:val="18"/>
              </w:rPr>
              <w:t>/2020</w:t>
            </w:r>
          </w:p>
        </w:tc>
        <w:tc>
          <w:tcPr>
            <w:tcW w:w="1542" w:type="dxa"/>
            <w:vAlign w:val="center"/>
          </w:tcPr>
          <w:p w:rsidR="003E7163" w:rsidRPr="004077AC" w:rsidRDefault="003E7163" w:rsidP="001058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077AC"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3E7163" w:rsidRPr="004077AC" w:rsidRDefault="00AB3D30" w:rsidP="00E4368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233 477,15</w:t>
            </w:r>
            <w:r w:rsidR="00761A6A">
              <w:rPr>
                <w:rFonts w:asciiTheme="minorHAnsi" w:hAnsiTheme="minorHAnsi"/>
                <w:sz w:val="18"/>
                <w:szCs w:val="18"/>
              </w:rPr>
              <w:t xml:space="preserve"> EUR</w:t>
            </w:r>
          </w:p>
        </w:tc>
      </w:tr>
      <w:tr w:rsidR="003E7163" w:rsidRPr="00E4368A" w:rsidTr="0050129E">
        <w:trPr>
          <w:trHeight w:val="252"/>
          <w:jc w:val="center"/>
        </w:trPr>
        <w:tc>
          <w:tcPr>
            <w:tcW w:w="2058" w:type="dxa"/>
          </w:tcPr>
          <w:p w:rsidR="003E7163" w:rsidRPr="00E4368A" w:rsidRDefault="00270A7A" w:rsidP="0010589A">
            <w:pPr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5.1.2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E4368A">
              <w:rPr>
                <w:rFonts w:asciiTheme="minorHAnsi" w:hAnsiTheme="minorHAnsi"/>
                <w:sz w:val="18"/>
                <w:szCs w:val="18"/>
              </w:rPr>
              <w:t>Zlepšenie udržateľných 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3E7163" w:rsidRPr="004077AC" w:rsidRDefault="004077AC" w:rsidP="0010589A">
            <w:pPr>
              <w:rPr>
                <w:rFonts w:asciiTheme="minorHAnsi" w:hAnsiTheme="minorHAnsi"/>
                <w:sz w:val="18"/>
                <w:szCs w:val="18"/>
              </w:rPr>
            </w:pPr>
            <w:r w:rsidRPr="004077AC">
              <w:rPr>
                <w:rFonts w:asciiTheme="minorHAnsi" w:hAnsiTheme="minorHAnsi"/>
                <w:sz w:val="18"/>
                <w:szCs w:val="18"/>
              </w:rPr>
              <w:t>B2</w:t>
            </w:r>
            <w:r w:rsidR="0095744B">
              <w:rPr>
                <w:rFonts w:asciiTheme="minorHAnsi" w:hAnsiTheme="minorHAnsi"/>
                <w:sz w:val="18"/>
                <w:szCs w:val="18"/>
              </w:rPr>
              <w:t xml:space="preserve"> Zvyšovanie bezpečnosti a dostupnosti sídiel</w:t>
            </w:r>
          </w:p>
        </w:tc>
        <w:tc>
          <w:tcPr>
            <w:tcW w:w="1786" w:type="dxa"/>
          </w:tcPr>
          <w:p w:rsidR="003E7163" w:rsidRPr="004077AC" w:rsidRDefault="004077AC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Obce </w:t>
            </w:r>
            <w:r w:rsidR="00761A6A">
              <w:rPr>
                <w:rFonts w:asciiTheme="minorHAnsi" w:hAnsiTheme="minorHAnsi"/>
                <w:sz w:val="18"/>
                <w:szCs w:val="18"/>
              </w:rPr>
              <w:t>v pôsobnosti RZ Dolná Nitra o.z.</w:t>
            </w:r>
          </w:p>
        </w:tc>
        <w:tc>
          <w:tcPr>
            <w:tcW w:w="1371" w:type="dxa"/>
          </w:tcPr>
          <w:p w:rsidR="003E7163" w:rsidRPr="004077AC" w:rsidRDefault="00761A6A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otvorená</w:t>
            </w:r>
          </w:p>
        </w:tc>
        <w:tc>
          <w:tcPr>
            <w:tcW w:w="1542" w:type="dxa"/>
          </w:tcPr>
          <w:p w:rsidR="003E7163" w:rsidRPr="004077AC" w:rsidRDefault="003E7163" w:rsidP="0010589A">
            <w:pPr>
              <w:rPr>
                <w:rFonts w:asciiTheme="minorHAnsi" w:hAnsiTheme="minorHAnsi"/>
                <w:sz w:val="18"/>
                <w:szCs w:val="18"/>
              </w:rPr>
            </w:pPr>
            <w:r w:rsidRPr="004077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7F51">
              <w:rPr>
                <w:rFonts w:asciiTheme="minorHAnsi" w:hAnsiTheme="minorHAnsi"/>
                <w:sz w:val="18"/>
                <w:szCs w:val="18"/>
              </w:rPr>
              <w:t>11</w:t>
            </w:r>
            <w:r w:rsidR="0095744B">
              <w:rPr>
                <w:rFonts w:asciiTheme="minorHAnsi" w:hAnsiTheme="minorHAnsi"/>
                <w:sz w:val="18"/>
                <w:szCs w:val="18"/>
              </w:rPr>
              <w:t>/2020</w:t>
            </w:r>
          </w:p>
        </w:tc>
        <w:tc>
          <w:tcPr>
            <w:tcW w:w="1542" w:type="dxa"/>
          </w:tcPr>
          <w:p w:rsidR="003E7163" w:rsidRPr="004077AC" w:rsidRDefault="00761A6A" w:rsidP="0010589A">
            <w:pPr>
              <w:rPr>
                <w:rFonts w:asciiTheme="minorHAnsi" w:hAnsiTheme="minorHAnsi"/>
                <w:sz w:val="18"/>
                <w:szCs w:val="18"/>
              </w:rPr>
            </w:pPr>
            <w:r w:rsidRPr="004077AC"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2008" w:type="dxa"/>
          </w:tcPr>
          <w:p w:rsidR="003E7163" w:rsidRPr="004077AC" w:rsidRDefault="00AB3D30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20 000,00</w:t>
            </w:r>
            <w:r w:rsidR="00761A6A">
              <w:rPr>
                <w:rFonts w:asciiTheme="minorHAnsi" w:hAnsiTheme="minorHAnsi"/>
                <w:sz w:val="18"/>
                <w:szCs w:val="18"/>
              </w:rPr>
              <w:t xml:space="preserve"> EUR</w:t>
            </w:r>
          </w:p>
        </w:tc>
      </w:tr>
      <w:tr w:rsidR="00761A6A" w:rsidRPr="00E4368A" w:rsidTr="0050129E">
        <w:trPr>
          <w:trHeight w:val="252"/>
          <w:jc w:val="center"/>
        </w:trPr>
        <w:tc>
          <w:tcPr>
            <w:tcW w:w="2058" w:type="dxa"/>
          </w:tcPr>
          <w:p w:rsidR="00761A6A" w:rsidRPr="00E4368A" w:rsidRDefault="00761A6A" w:rsidP="0010589A">
            <w:pPr>
              <w:rPr>
                <w:rFonts w:asciiTheme="minorHAnsi" w:hAnsiTheme="minorHAnsi"/>
                <w:sz w:val="18"/>
                <w:szCs w:val="18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5.1.2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E4368A">
              <w:rPr>
                <w:rFonts w:asciiTheme="minorHAnsi" w:hAnsiTheme="minorHAnsi"/>
                <w:sz w:val="18"/>
                <w:szCs w:val="18"/>
              </w:rPr>
              <w:t>Zlepšenie udržateľných 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761A6A" w:rsidRPr="004077AC" w:rsidRDefault="00761A6A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D1</w:t>
            </w:r>
            <w:r w:rsidR="0095744B">
              <w:rPr>
                <w:rFonts w:asciiTheme="minorHAnsi" w:hAnsiTheme="minorHAnsi"/>
                <w:sz w:val="18"/>
                <w:szCs w:val="18"/>
              </w:rPr>
              <w:t xml:space="preserve"> Učebne základných škôl</w:t>
            </w:r>
          </w:p>
        </w:tc>
        <w:tc>
          <w:tcPr>
            <w:tcW w:w="1786" w:type="dxa"/>
          </w:tcPr>
          <w:p w:rsidR="00761A6A" w:rsidRDefault="00761A6A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Obce v pôsobnosti RZ Dolná Nitra o.z.</w:t>
            </w:r>
          </w:p>
        </w:tc>
        <w:tc>
          <w:tcPr>
            <w:tcW w:w="1371" w:type="dxa"/>
          </w:tcPr>
          <w:p w:rsidR="00761A6A" w:rsidRDefault="00761A6A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otvorená</w:t>
            </w:r>
          </w:p>
        </w:tc>
        <w:tc>
          <w:tcPr>
            <w:tcW w:w="1542" w:type="dxa"/>
          </w:tcPr>
          <w:p w:rsidR="00761A6A" w:rsidRPr="004077AC" w:rsidRDefault="007F7F51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="0095744B">
              <w:rPr>
                <w:rFonts w:asciiTheme="minorHAnsi" w:hAnsiTheme="minorHAnsi"/>
                <w:sz w:val="18"/>
                <w:szCs w:val="18"/>
              </w:rPr>
              <w:t>/2020</w:t>
            </w:r>
          </w:p>
        </w:tc>
        <w:tc>
          <w:tcPr>
            <w:tcW w:w="1542" w:type="dxa"/>
          </w:tcPr>
          <w:p w:rsidR="00761A6A" w:rsidRPr="004077AC" w:rsidRDefault="00761A6A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2008" w:type="dxa"/>
          </w:tcPr>
          <w:p w:rsidR="00761A6A" w:rsidRDefault="00AB3D30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8 550,00</w:t>
            </w:r>
            <w:r w:rsidR="0095744B">
              <w:rPr>
                <w:rFonts w:asciiTheme="minorHAnsi" w:hAnsiTheme="minorHAnsi"/>
                <w:sz w:val="18"/>
                <w:szCs w:val="18"/>
              </w:rPr>
              <w:t xml:space="preserve"> EUR</w:t>
            </w:r>
          </w:p>
        </w:tc>
      </w:tr>
      <w:tr w:rsidR="0095744B" w:rsidRPr="00E4368A" w:rsidTr="0050129E">
        <w:trPr>
          <w:trHeight w:val="252"/>
          <w:jc w:val="center"/>
        </w:trPr>
        <w:tc>
          <w:tcPr>
            <w:tcW w:w="2058" w:type="dxa"/>
          </w:tcPr>
          <w:p w:rsidR="0095744B" w:rsidRPr="00E4368A" w:rsidRDefault="0095744B" w:rsidP="0010589A">
            <w:pPr>
              <w:rPr>
                <w:rFonts w:asciiTheme="minorHAnsi" w:hAnsiTheme="minorHAnsi"/>
                <w:sz w:val="18"/>
                <w:szCs w:val="18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5.1.2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E4368A">
              <w:rPr>
                <w:rFonts w:asciiTheme="minorHAnsi" w:hAnsiTheme="minorHAnsi"/>
                <w:sz w:val="18"/>
                <w:szCs w:val="18"/>
              </w:rPr>
              <w:t>Zlepšenie udržateľných 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95744B" w:rsidRDefault="0095744B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D2 Skvalitnenie a rozšírenie kapacít predškolských zariadení</w:t>
            </w:r>
          </w:p>
        </w:tc>
        <w:tc>
          <w:tcPr>
            <w:tcW w:w="1786" w:type="dxa"/>
          </w:tcPr>
          <w:p w:rsidR="0095744B" w:rsidRDefault="0095744B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Obce v pôsobnosti RZ Dolná Nitra o.z.</w:t>
            </w:r>
          </w:p>
        </w:tc>
        <w:tc>
          <w:tcPr>
            <w:tcW w:w="1371" w:type="dxa"/>
          </w:tcPr>
          <w:p w:rsidR="0095744B" w:rsidRDefault="0095744B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otvorená</w:t>
            </w:r>
          </w:p>
        </w:tc>
        <w:tc>
          <w:tcPr>
            <w:tcW w:w="1542" w:type="dxa"/>
          </w:tcPr>
          <w:p w:rsidR="0095744B" w:rsidRPr="004077AC" w:rsidRDefault="007F7F51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</w:t>
            </w:r>
            <w:bookmarkStart w:id="0" w:name="_GoBack"/>
            <w:bookmarkEnd w:id="0"/>
            <w:r w:rsidR="0095744B">
              <w:rPr>
                <w:rFonts w:asciiTheme="minorHAnsi" w:hAnsiTheme="minorHAnsi"/>
                <w:sz w:val="18"/>
                <w:szCs w:val="18"/>
              </w:rPr>
              <w:t>/2020</w:t>
            </w:r>
          </w:p>
        </w:tc>
        <w:tc>
          <w:tcPr>
            <w:tcW w:w="1542" w:type="dxa"/>
          </w:tcPr>
          <w:p w:rsidR="0095744B" w:rsidRDefault="0095744B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2008" w:type="dxa"/>
          </w:tcPr>
          <w:p w:rsidR="0095744B" w:rsidRDefault="00AB3D30" w:rsidP="001058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35 150</w:t>
            </w:r>
            <w:r w:rsidR="0095744B">
              <w:rPr>
                <w:rFonts w:asciiTheme="minorHAnsi" w:hAnsiTheme="minorHAnsi"/>
                <w:sz w:val="18"/>
                <w:szCs w:val="18"/>
              </w:rPr>
              <w:t>,00 EUR</w:t>
            </w:r>
          </w:p>
        </w:tc>
      </w:tr>
    </w:tbl>
    <w:p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18" w:rsidRDefault="00981818" w:rsidP="00C057E2">
      <w:pPr>
        <w:spacing w:after="0" w:line="240" w:lineRule="auto"/>
      </w:pPr>
      <w:r>
        <w:separator/>
      </w:r>
    </w:p>
  </w:endnote>
  <w:endnote w:type="continuationSeparator" w:id="0">
    <w:p w:rsidR="00981818" w:rsidRDefault="00981818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B4A7F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F7F51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18" w:rsidRDefault="00981818" w:rsidP="00C057E2">
      <w:pPr>
        <w:spacing w:after="0" w:line="240" w:lineRule="auto"/>
      </w:pPr>
      <w:r>
        <w:separator/>
      </w:r>
    </w:p>
  </w:footnote>
  <w:footnote w:type="continuationSeparator" w:id="0">
    <w:p w:rsidR="00981818" w:rsidRDefault="00981818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16" w:rsidRPr="001F013A" w:rsidRDefault="00B2330E" w:rsidP="00413B16">
    <w:pPr>
      <w:pStyle w:val="Hlavika"/>
      <w:rPr>
        <w:rFonts w:ascii="Arial Narrow" w:hAnsi="Arial Narrow"/>
        <w:sz w:val="20"/>
      </w:rPr>
    </w:pPr>
    <w:r w:rsidRPr="00B2330E">
      <w:rPr>
        <w:rFonts w:ascii="Arial Narrow" w:hAnsi="Arial Narrow"/>
        <w:noProof/>
        <w:sz w:val="20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154688</wp:posOffset>
          </wp:positionH>
          <wp:positionV relativeFrom="margin">
            <wp:posOffset>-586524</wp:posOffset>
          </wp:positionV>
          <wp:extent cx="526211" cy="446316"/>
          <wp:effectExtent l="0" t="0" r="7620" b="0"/>
          <wp:wrapSquare wrapText="bothSides"/>
          <wp:docPr id="5" name="Obrázok 5" descr="\\server\Dokumenty\LEADER\LOGA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Dokumenty\LEADER\LOGA\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11" cy="44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330E">
      <w:rPr>
        <w:rFonts w:ascii="Arial Narrow" w:hAnsi="Arial Narrow"/>
        <w:sz w:val="20"/>
      </w:rPr>
      <w:t xml:space="preserve"> </w:t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5168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48000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2336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23"/>
    <w:rsid w:val="00095F84"/>
    <w:rsid w:val="000B0C58"/>
    <w:rsid w:val="000E7996"/>
    <w:rsid w:val="0010589A"/>
    <w:rsid w:val="00117D56"/>
    <w:rsid w:val="00187F2F"/>
    <w:rsid w:val="0019444C"/>
    <w:rsid w:val="00217CEC"/>
    <w:rsid w:val="00242051"/>
    <w:rsid w:val="00270A7A"/>
    <w:rsid w:val="00295FD9"/>
    <w:rsid w:val="002E6DD1"/>
    <w:rsid w:val="00311C83"/>
    <w:rsid w:val="003377A7"/>
    <w:rsid w:val="003632C4"/>
    <w:rsid w:val="003C7C46"/>
    <w:rsid w:val="003E6833"/>
    <w:rsid w:val="003E7163"/>
    <w:rsid w:val="004077AC"/>
    <w:rsid w:val="00413B16"/>
    <w:rsid w:val="00454F56"/>
    <w:rsid w:val="004E0C17"/>
    <w:rsid w:val="004E4086"/>
    <w:rsid w:val="0050129E"/>
    <w:rsid w:val="005154E6"/>
    <w:rsid w:val="006300A5"/>
    <w:rsid w:val="0069646F"/>
    <w:rsid w:val="006B7927"/>
    <w:rsid w:val="006D7F8D"/>
    <w:rsid w:val="006F1BA0"/>
    <w:rsid w:val="0070774B"/>
    <w:rsid w:val="00761A6A"/>
    <w:rsid w:val="0079366E"/>
    <w:rsid w:val="007F08EA"/>
    <w:rsid w:val="007F7F51"/>
    <w:rsid w:val="008334F9"/>
    <w:rsid w:val="00836AC8"/>
    <w:rsid w:val="008D0C3E"/>
    <w:rsid w:val="008E0389"/>
    <w:rsid w:val="008E480E"/>
    <w:rsid w:val="009023BC"/>
    <w:rsid w:val="0095744B"/>
    <w:rsid w:val="00981528"/>
    <w:rsid w:val="00981818"/>
    <w:rsid w:val="00992EDD"/>
    <w:rsid w:val="00993C5A"/>
    <w:rsid w:val="009C58D5"/>
    <w:rsid w:val="009C7008"/>
    <w:rsid w:val="00A17DAB"/>
    <w:rsid w:val="00A9035D"/>
    <w:rsid w:val="00AB3D30"/>
    <w:rsid w:val="00AC6266"/>
    <w:rsid w:val="00B2330E"/>
    <w:rsid w:val="00B41A8E"/>
    <w:rsid w:val="00B67CCB"/>
    <w:rsid w:val="00BA5823"/>
    <w:rsid w:val="00BE75A4"/>
    <w:rsid w:val="00BF1E73"/>
    <w:rsid w:val="00C057E2"/>
    <w:rsid w:val="00C35B10"/>
    <w:rsid w:val="00C43EE3"/>
    <w:rsid w:val="00C701C7"/>
    <w:rsid w:val="00CB4492"/>
    <w:rsid w:val="00CD3FC1"/>
    <w:rsid w:val="00D04DA3"/>
    <w:rsid w:val="00D61E17"/>
    <w:rsid w:val="00D62C3C"/>
    <w:rsid w:val="00D873FA"/>
    <w:rsid w:val="00E4368A"/>
    <w:rsid w:val="00E85D90"/>
    <w:rsid w:val="00E866FD"/>
    <w:rsid w:val="00ED294D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6AF5C5E-1F40-456E-AF9B-BBB6C4BC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287F-D230-4E94-8B12-7BA54B91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2020-11-05T08:04:00Z</cp:lastPrinted>
  <dcterms:created xsi:type="dcterms:W3CDTF">2020-11-05T08:07:00Z</dcterms:created>
  <dcterms:modified xsi:type="dcterms:W3CDTF">2020-11-05T08:07:00Z</dcterms:modified>
</cp:coreProperties>
</file>